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305F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12BA5">
        <w:rPr>
          <w:rFonts w:ascii="Times New Roman" w:hAnsi="Times New Roman" w:cs="Times New Roman"/>
          <w:b/>
          <w:sz w:val="32"/>
          <w:szCs w:val="32"/>
        </w:rPr>
        <w:t>TANMENET</w:t>
      </w: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MAGYAR NYELV</w:t>
      </w: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SZAKKÖZÉPISKOLA</w:t>
      </w: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10. ÉVFOLYAM</w:t>
      </w: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HETI 1 ÓRA, 37 HÉT (37 ÓRA)</w:t>
      </w:r>
    </w:p>
    <w:p w:rsidR="00835A62" w:rsidRDefault="00093010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20114/2015</w:t>
      </w:r>
      <w:r w:rsidR="00835A62">
        <w:rPr>
          <w:rFonts w:ascii="Times New Roman" w:hAnsi="Times New Roman" w:cs="Times New Roman"/>
          <w:b/>
          <w:sz w:val="32"/>
          <w:szCs w:val="32"/>
        </w:rPr>
        <w:t>.</w:t>
      </w: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C12BA5" w:rsidP="00C12B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2BA5" w:rsidRDefault="00093010" w:rsidP="00C12B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Osztályok: 10.</w:t>
      </w:r>
      <w:proofErr w:type="gramStart"/>
      <w:r>
        <w:rPr>
          <w:rFonts w:ascii="Times New Roman" w:hAnsi="Times New Roman" w:cs="Times New Roman"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sz w:val="32"/>
          <w:szCs w:val="32"/>
        </w:rPr>
        <w:t>; 10.B.</w:t>
      </w:r>
    </w:p>
    <w:p w:rsidR="00C12BA5" w:rsidRDefault="00093010" w:rsidP="00C12B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Tanár: Tihanyi Emese</w:t>
      </w:r>
      <w:bookmarkStart w:id="0" w:name="_GoBack"/>
      <w:bookmarkEnd w:id="0"/>
    </w:p>
    <w:p w:rsidR="00C12BA5" w:rsidRDefault="00C12BA5" w:rsidP="00C12B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Készítette: humán munkaközösség</w:t>
      </w:r>
    </w:p>
    <w:p w:rsidR="00C12BA5" w:rsidRPr="00C12BA5" w:rsidRDefault="00C12BA5" w:rsidP="00C12B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Budapest, 2013. szeptember 19.</w:t>
      </w:r>
    </w:p>
    <w:p w:rsidR="00C12BA5" w:rsidRPr="00C12BA5" w:rsidRDefault="00C12BA5">
      <w:pPr>
        <w:rPr>
          <w:rFonts w:ascii="Times New Roman" w:hAnsi="Times New Roman" w:cs="Times New Roman"/>
          <w:sz w:val="20"/>
          <w:szCs w:val="20"/>
        </w:rPr>
      </w:pPr>
      <w:r w:rsidRPr="00C12BA5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3261"/>
        <w:gridCol w:w="1842"/>
        <w:gridCol w:w="2268"/>
        <w:gridCol w:w="2268"/>
      </w:tblGrid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Óra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pStyle w:val="Cmsor1"/>
              <w:rPr>
                <w:rFonts w:ascii="Times New Roman" w:hAnsi="Times New Roman"/>
                <w:smallCaps/>
                <w:sz w:val="20"/>
                <w:szCs w:val="20"/>
              </w:rPr>
            </w:pPr>
            <w:r w:rsidRPr="00C12BA5">
              <w:rPr>
                <w:rFonts w:ascii="Times New Roman" w:hAnsi="Times New Roman"/>
                <w:smallCaps/>
                <w:sz w:val="20"/>
                <w:szCs w:val="20"/>
              </w:rPr>
              <w:t>Az óra témája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b/>
                <w:sz w:val="20"/>
                <w:szCs w:val="20"/>
              </w:rPr>
              <w:t>Az óra didaktikai feladata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b/>
                <w:sz w:val="20"/>
                <w:szCs w:val="20"/>
              </w:rPr>
              <w:t>Ismeretanyag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b/>
                <w:sz w:val="20"/>
                <w:szCs w:val="20"/>
              </w:rPr>
              <w:t>Nyelvhasználat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Ismételjünk!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ismétlés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9. osztályban tanult magyar nyelvi és kommunikációs ismeretek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szövegalkotás, helyesírás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pStyle w:val="Cmsor2"/>
              <w:rPr>
                <w:rFonts w:ascii="Times New Roman" w:hAnsi="Times New Roman"/>
                <w:sz w:val="20"/>
                <w:szCs w:val="20"/>
              </w:rPr>
            </w:pPr>
            <w:r w:rsidRPr="00C12BA5">
              <w:rPr>
                <w:rFonts w:ascii="Times New Roman" w:hAnsi="Times New Roman"/>
                <w:b/>
                <w:i/>
                <w:sz w:val="20"/>
                <w:szCs w:val="20"/>
              </w:rPr>
              <w:t>Könyv- és könyvtárhasználat</w:t>
            </w:r>
            <w:r w:rsidRPr="00C12BA5">
              <w:rPr>
                <w:rFonts w:ascii="Times New Roman" w:hAnsi="Times New Roman"/>
                <w:b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/>
                <w:b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/>
                <w:b/>
                <w:sz w:val="20"/>
                <w:szCs w:val="20"/>
              </w:rPr>
              <w:t xml:space="preserve"> 1–7.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tájékozódás a könyvtárban, az internet szerepe az anyaggyűjtésben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helyesírás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szövegtípusok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1–4.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proofErr w:type="spell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dialogikus</w:t>
            </w:r>
            <w:proofErr w:type="spell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és a monologikus szövegek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kommunikációs gyakorlatok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szövegtípusok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5–11.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elbeszélő, a leíró és az érvelő szövegek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szövegtípusok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12–19.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érvelő szövegek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szövegtípusok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20–25.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</w:t>
            </w:r>
          </w:p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írásbeli és a szóbeli szövegek, tervezett és spontán szövegek, a szövegtípusok a kommunikációs színterek szerint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helyesejtés</w:t>
            </w:r>
            <w:proofErr w:type="spell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, 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szövegtípusok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26–32. </w:t>
            </w: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Mit tanultunk a szövegtípusokról?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szövegtípusok a kommunikációs színterek szerint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Fogalmazási kalauz. A névjegy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1–5. </w:t>
            </w: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Az önéletrajz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1–6. </w:t>
            </w: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Bemutatkozás a számítógépen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névjegy, az önéletrajz és a honlap jellemzői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szövegalkotás, helyesírás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Fogalmazási kalauz. A hivatalos levél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kérvény, a bejelentés, a pályázat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szövegalkotás, nyelvhelyesség, helyesírás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Fogalmazási kalauz. A hivatalos levél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11–21.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értesítés, a felhívás, a meghívó, a jegyzőkönyv, a határozat, a jelentés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szövegalkotás, helyesírás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Mit tanultunk? I. összefoglalás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összefoglalás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I. témakör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pStyle w:val="Cmsor3"/>
              <w:rPr>
                <w:rFonts w:ascii="Times New Roman" w:hAnsi="Times New Roman"/>
                <w:sz w:val="20"/>
                <w:szCs w:val="20"/>
              </w:rPr>
            </w:pPr>
            <w:r w:rsidRPr="00C12BA5">
              <w:rPr>
                <w:rFonts w:ascii="Times New Roman" w:hAnsi="Times New Roman"/>
                <w:sz w:val="20"/>
                <w:szCs w:val="20"/>
              </w:rPr>
              <w:t>I. témazáró dolgozat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ellenőrzés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I. témakör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Mi a retorika?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a retorika és a kommunikáció kapcsolata, nagy magyar 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szónokok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szónoklás művészete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szónok tulajdonságai és feladatai, a beszéd fajtái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kommunikációs gyakorlatok, szövegértés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szövegszerkesztés tudománya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beszéd fajtái és jellemzői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szövegszerkesztés tudománya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8–13.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beszéd részei, a bevezetés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szövegszerkesztés tudománya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14–21.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elbeszélés, a kitérő, a befejezés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Mit tanultunk? II. összefoglalás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összefoglalás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II. témakör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pStyle w:val="Cmsor3"/>
              <w:rPr>
                <w:rFonts w:ascii="Times New Roman" w:hAnsi="Times New Roman"/>
                <w:sz w:val="20"/>
                <w:szCs w:val="20"/>
              </w:rPr>
            </w:pPr>
            <w:r w:rsidRPr="00C12BA5">
              <w:rPr>
                <w:rFonts w:ascii="Times New Roman" w:hAnsi="Times New Roman"/>
                <w:sz w:val="20"/>
                <w:szCs w:val="20"/>
              </w:rPr>
              <w:t>II. témazáró dolgozat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ellenőrzés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II. témakör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Az érvelés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érv fölépítése, az erős és gyenge érvek, az érvek elrendezése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Az érvelés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Mf</w:t>
            </w:r>
            <w:proofErr w:type="spell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 11–21.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érvtípusok, az indukció, a dedukció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Az érvelés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22–29.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példa, az érvelés hibái, a cáfolat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szövegalkotás, nyelvhelyesség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 kidolgozása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1–6.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beszédelemzés, a kapcsolat a hallgatókkal, a bekezdés, az idézés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 kidolgozása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Mf</w:t>
            </w:r>
            <w:proofErr w:type="spell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 7–14.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egyéb szónoki eszközök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szöveg kidolgozása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15–21.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stílushibák, a körmondat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beszéd megszólaltatása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beszéd nem nyelvi jelei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helyesejtés</w:t>
            </w:r>
            <w:proofErr w:type="spell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Mit tanultunk? III. összefoglalás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összefoglalás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III. témakör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pStyle w:val="Cmsor3"/>
              <w:rPr>
                <w:rFonts w:ascii="Times New Roman" w:hAnsi="Times New Roman"/>
                <w:sz w:val="20"/>
                <w:szCs w:val="20"/>
              </w:rPr>
            </w:pPr>
            <w:r w:rsidRPr="00C12BA5">
              <w:rPr>
                <w:rFonts w:ascii="Times New Roman" w:hAnsi="Times New Roman"/>
                <w:sz w:val="20"/>
                <w:szCs w:val="20"/>
              </w:rPr>
              <w:t>III. témazáró dolgozat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ellenőrzés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III. témakör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Fogalmazási kalauz. Az előadás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1–12. </w:t>
            </w: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hozzászólás és a felszólalás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előadás, a hozzászólás és a felszólalás jellemzői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Fogalmazási kalauz. Az értekezés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az értekezés felépítése és nyelvezete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Fogalmazási kalauz. Az értekezés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6–9.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készségfejlesztés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az értekezés felépítése, 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nyelvezete és hibái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szövegértés, 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Anyanyelvünk változatai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szaknyelvek, az argó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Anyanyelvünk változatai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6–15.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ismeretbővítés, 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szleng, a diáknyelv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A nyelvjárások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1–10.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ismeretbővítés</w:t>
            </w:r>
          </w:p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gyakorlás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nyelvjárások típusai, a tájnyelvi szavak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</w:t>
            </w: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Mit tanultunk? IV. összefoglalás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1–6.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összefoglalás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IV. témakör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pStyle w:val="Cmsor3"/>
              <w:rPr>
                <w:rFonts w:ascii="Times New Roman" w:hAnsi="Times New Roman"/>
                <w:sz w:val="20"/>
                <w:szCs w:val="20"/>
              </w:rPr>
            </w:pPr>
            <w:r w:rsidRPr="00C12BA5">
              <w:rPr>
                <w:rFonts w:ascii="Times New Roman" w:hAnsi="Times New Roman"/>
                <w:sz w:val="20"/>
                <w:szCs w:val="20"/>
              </w:rPr>
              <w:t>IV. témazáró dolgozat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ellenőrzés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IV. témakör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A5" w:rsidRPr="00C12BA5" w:rsidTr="00E26984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C12BA5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i/>
                <w:sz w:val="20"/>
                <w:szCs w:val="20"/>
              </w:rPr>
              <w:t>Mit tanultunk ebben az esztendőben?</w:t>
            </w: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Mf</w:t>
            </w:r>
            <w:proofErr w:type="gramStart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  <w:proofErr w:type="gramEnd"/>
            <w:r w:rsidRPr="00C12BA5">
              <w:rPr>
                <w:rFonts w:ascii="Times New Roman" w:hAnsi="Times New Roman" w:cs="Times New Roman"/>
                <w:sz w:val="20"/>
                <w:szCs w:val="20"/>
              </w:rPr>
              <w:t xml:space="preserve"> 1–7.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ismétlés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a 10. osztályban tanult magyar nyelvi és kommunikációs ismeretek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2BA5" w:rsidRPr="00C12BA5" w:rsidRDefault="00C12BA5" w:rsidP="00E269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BA5">
              <w:rPr>
                <w:rFonts w:ascii="Times New Roman" w:hAnsi="Times New Roman" w:cs="Times New Roman"/>
                <w:sz w:val="20"/>
                <w:szCs w:val="20"/>
              </w:rPr>
              <w:t>szövegértés, szövegalkotás</w:t>
            </w:r>
          </w:p>
        </w:tc>
      </w:tr>
    </w:tbl>
    <w:p w:rsidR="00C12BA5" w:rsidRPr="00C12BA5" w:rsidRDefault="00C12BA5" w:rsidP="00C12BA5">
      <w:pPr>
        <w:rPr>
          <w:rFonts w:ascii="Times New Roman" w:hAnsi="Times New Roman" w:cs="Times New Roman"/>
          <w:sz w:val="20"/>
          <w:szCs w:val="20"/>
        </w:rPr>
      </w:pPr>
    </w:p>
    <w:p w:rsidR="00C12BA5" w:rsidRPr="00C12BA5" w:rsidRDefault="00C12BA5" w:rsidP="00C12BA5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C12BA5" w:rsidRPr="00C12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0521C"/>
    <w:multiLevelType w:val="multilevel"/>
    <w:tmpl w:val="77EC15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BA5"/>
    <w:rsid w:val="00093010"/>
    <w:rsid w:val="00835A62"/>
    <w:rsid w:val="00C12BA5"/>
    <w:rsid w:val="00CF38C4"/>
    <w:rsid w:val="00EB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rsid w:val="00C12BA5"/>
    <w:pPr>
      <w:pBdr>
        <w:bottom w:val="single" w:sz="12" w:space="1" w:color="365F91"/>
      </w:pBdr>
      <w:suppressAutoHyphens/>
      <w:autoSpaceDN w:val="0"/>
      <w:spacing w:before="600" w:after="80" w:line="240" w:lineRule="auto"/>
      <w:textAlignment w:val="baseline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rsid w:val="00C12BA5"/>
    <w:pPr>
      <w:pBdr>
        <w:bottom w:val="single" w:sz="8" w:space="1" w:color="4F81BD"/>
      </w:pBdr>
      <w:suppressAutoHyphens/>
      <w:autoSpaceDN w:val="0"/>
      <w:spacing w:before="200" w:after="80" w:line="240" w:lineRule="auto"/>
      <w:textAlignment w:val="baseline"/>
      <w:outlineLvl w:val="1"/>
    </w:pPr>
    <w:rPr>
      <w:rFonts w:ascii="Cambria" w:eastAsia="Times New Roman" w:hAnsi="Cambria" w:cs="Times New Roman"/>
      <w:color w:val="365F91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rsid w:val="00C12BA5"/>
    <w:pPr>
      <w:pBdr>
        <w:bottom w:val="single" w:sz="4" w:space="1" w:color="95B3D7"/>
      </w:pBdr>
      <w:suppressAutoHyphens/>
      <w:autoSpaceDN w:val="0"/>
      <w:spacing w:before="200" w:after="80" w:line="240" w:lineRule="auto"/>
      <w:textAlignment w:val="baseline"/>
      <w:outlineLvl w:val="2"/>
    </w:pPr>
    <w:rPr>
      <w:rFonts w:ascii="Cambria" w:eastAsia="Times New Roman" w:hAnsi="Cambria" w:cs="Times New Roman"/>
      <w:color w:val="4F81BD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BA5"/>
    <w:rPr>
      <w:rFonts w:ascii="Cambria" w:eastAsia="Times New Roman" w:hAnsi="Cambria" w:cs="Times New Roman"/>
      <w:b/>
      <w:bCs/>
      <w:color w:val="365F91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C12BA5"/>
    <w:rPr>
      <w:rFonts w:ascii="Cambria" w:eastAsia="Times New Roman" w:hAnsi="Cambria" w:cs="Times New Roman"/>
      <w:color w:val="365F91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C12BA5"/>
    <w:rPr>
      <w:rFonts w:ascii="Cambria" w:eastAsia="Times New Roman" w:hAnsi="Cambria" w:cs="Times New Roman"/>
      <w:color w:val="4F81BD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rsid w:val="00C12BA5"/>
    <w:pPr>
      <w:pBdr>
        <w:bottom w:val="single" w:sz="12" w:space="1" w:color="365F91"/>
      </w:pBdr>
      <w:suppressAutoHyphens/>
      <w:autoSpaceDN w:val="0"/>
      <w:spacing w:before="600" w:after="80" w:line="240" w:lineRule="auto"/>
      <w:textAlignment w:val="baseline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rsid w:val="00C12BA5"/>
    <w:pPr>
      <w:pBdr>
        <w:bottom w:val="single" w:sz="8" w:space="1" w:color="4F81BD"/>
      </w:pBdr>
      <w:suppressAutoHyphens/>
      <w:autoSpaceDN w:val="0"/>
      <w:spacing w:before="200" w:after="80" w:line="240" w:lineRule="auto"/>
      <w:textAlignment w:val="baseline"/>
      <w:outlineLvl w:val="1"/>
    </w:pPr>
    <w:rPr>
      <w:rFonts w:ascii="Cambria" w:eastAsia="Times New Roman" w:hAnsi="Cambria" w:cs="Times New Roman"/>
      <w:color w:val="365F91"/>
      <w:sz w:val="24"/>
      <w:szCs w:val="24"/>
      <w:lang w:eastAsia="hu-HU"/>
    </w:rPr>
  </w:style>
  <w:style w:type="paragraph" w:styleId="Cmsor3">
    <w:name w:val="heading 3"/>
    <w:basedOn w:val="Norml"/>
    <w:next w:val="Norml"/>
    <w:link w:val="Cmsor3Char"/>
    <w:rsid w:val="00C12BA5"/>
    <w:pPr>
      <w:pBdr>
        <w:bottom w:val="single" w:sz="4" w:space="1" w:color="95B3D7"/>
      </w:pBdr>
      <w:suppressAutoHyphens/>
      <w:autoSpaceDN w:val="0"/>
      <w:spacing w:before="200" w:after="80" w:line="240" w:lineRule="auto"/>
      <w:textAlignment w:val="baseline"/>
      <w:outlineLvl w:val="2"/>
    </w:pPr>
    <w:rPr>
      <w:rFonts w:ascii="Cambria" w:eastAsia="Times New Roman" w:hAnsi="Cambria" w:cs="Times New Roman"/>
      <w:color w:val="4F81BD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12BA5"/>
    <w:rPr>
      <w:rFonts w:ascii="Cambria" w:eastAsia="Times New Roman" w:hAnsi="Cambria" w:cs="Times New Roman"/>
      <w:b/>
      <w:bCs/>
      <w:color w:val="365F91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C12BA5"/>
    <w:rPr>
      <w:rFonts w:ascii="Cambria" w:eastAsia="Times New Roman" w:hAnsi="Cambria" w:cs="Times New Roman"/>
      <w:color w:val="365F91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C12BA5"/>
    <w:rPr>
      <w:rFonts w:ascii="Cambria" w:eastAsia="Times New Roman" w:hAnsi="Cambria" w:cs="Times New Roman"/>
      <w:color w:val="4F81BD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Szilvi</dc:creator>
  <cp:lastModifiedBy>emese</cp:lastModifiedBy>
  <cp:revision>3</cp:revision>
  <dcterms:created xsi:type="dcterms:W3CDTF">2014-09-02T13:06:00Z</dcterms:created>
  <dcterms:modified xsi:type="dcterms:W3CDTF">2014-09-02T13:07:00Z</dcterms:modified>
</cp:coreProperties>
</file>